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4B1B" w:rsidRDefault="00C64B1B" w:rsidP="00C64B1B">
      <w:pPr>
        <w:jc w:val="center"/>
      </w:pPr>
    </w:p>
    <w:tbl>
      <w:tblPr>
        <w:tblW w:w="145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50"/>
        <w:gridCol w:w="1203"/>
        <w:gridCol w:w="1436"/>
        <w:gridCol w:w="6642"/>
        <w:gridCol w:w="4514"/>
      </w:tblGrid>
      <w:tr w:rsidR="00807385" w:rsidTr="006A7837">
        <w:trPr>
          <w:jc w:val="center"/>
        </w:trPr>
        <w:tc>
          <w:tcPr>
            <w:tcW w:w="14545" w:type="dxa"/>
            <w:gridSpan w:val="5"/>
            <w:shd w:val="clear" w:color="auto" w:fill="auto"/>
            <w:vAlign w:val="center"/>
          </w:tcPr>
          <w:p w:rsidR="00807385" w:rsidRPr="0065497C" w:rsidRDefault="00807385" w:rsidP="0065497C">
            <w:pPr>
              <w:spacing w:before="120" w:after="120"/>
              <w:ind w:left="2948" w:hanging="2948"/>
              <w:rPr>
                <w:i/>
              </w:rPr>
            </w:pPr>
            <w:r w:rsidRPr="004D086F">
              <w:rPr>
                <w:b/>
                <w:i/>
              </w:rPr>
              <w:t>Nazwa projektu dokumentu</w:t>
            </w:r>
            <w:r w:rsidR="002E0D6A" w:rsidRPr="004D086F">
              <w:rPr>
                <w:b/>
                <w:i/>
              </w:rPr>
              <w:t>:</w:t>
            </w:r>
            <w:r w:rsidR="00564F2F">
              <w:rPr>
                <w:b/>
                <w:i/>
              </w:rPr>
              <w:t xml:space="preserve"> </w:t>
            </w:r>
            <w:r w:rsidR="0065497C" w:rsidRPr="0065497C">
              <w:rPr>
                <w:i/>
              </w:rPr>
              <w:t>rozporządzenie Ministra Cyfryzacji w sprawie aplikacji mobilnej służącej do</w:t>
            </w:r>
            <w:r w:rsidR="0065497C">
              <w:rPr>
                <w:i/>
              </w:rPr>
              <w:t xml:space="preserve"> </w:t>
            </w:r>
            <w:r w:rsidR="0065497C" w:rsidRPr="0065497C">
              <w:rPr>
                <w:i/>
              </w:rPr>
              <w:t>rozliczania opłaty za przewóz osób</w:t>
            </w:r>
          </w:p>
        </w:tc>
      </w:tr>
      <w:tr w:rsidR="00807385" w:rsidTr="006A7837">
        <w:trPr>
          <w:jc w:val="center"/>
        </w:trPr>
        <w:tc>
          <w:tcPr>
            <w:tcW w:w="750" w:type="dxa"/>
            <w:shd w:val="clear" w:color="auto" w:fill="auto"/>
            <w:vAlign w:val="center"/>
          </w:tcPr>
          <w:p w:rsidR="00807385" w:rsidRPr="004D086F" w:rsidRDefault="00807385" w:rsidP="00B67B92">
            <w:pPr>
              <w:jc w:val="center"/>
              <w:rPr>
                <w:b/>
              </w:rPr>
            </w:pPr>
            <w:r w:rsidRPr="004D086F">
              <w:rPr>
                <w:b/>
              </w:rPr>
              <w:t>L.p.</w:t>
            </w:r>
          </w:p>
        </w:tc>
        <w:tc>
          <w:tcPr>
            <w:tcW w:w="1203" w:type="dxa"/>
            <w:shd w:val="clear" w:color="auto" w:fill="auto"/>
            <w:vAlign w:val="center"/>
          </w:tcPr>
          <w:p w:rsidR="00807385" w:rsidRPr="004D086F" w:rsidRDefault="00807385" w:rsidP="004D086F">
            <w:pPr>
              <w:jc w:val="center"/>
              <w:rPr>
                <w:b/>
              </w:rPr>
            </w:pPr>
            <w:r w:rsidRPr="004D086F">
              <w:rPr>
                <w:b/>
              </w:rPr>
              <w:t>Organ wnoszący uwagi</w:t>
            </w:r>
          </w:p>
        </w:tc>
        <w:tc>
          <w:tcPr>
            <w:tcW w:w="1436" w:type="dxa"/>
            <w:shd w:val="clear" w:color="auto" w:fill="auto"/>
            <w:vAlign w:val="center"/>
          </w:tcPr>
          <w:p w:rsidR="00807385" w:rsidRPr="004D086F" w:rsidRDefault="00807385" w:rsidP="004D086F">
            <w:pPr>
              <w:jc w:val="center"/>
              <w:rPr>
                <w:b/>
              </w:rPr>
            </w:pPr>
            <w:r w:rsidRPr="004D086F">
              <w:rPr>
                <w:b/>
              </w:rPr>
              <w:t>Jednostka redakcyjna, do której wnoszone są uwagi</w:t>
            </w:r>
          </w:p>
        </w:tc>
        <w:tc>
          <w:tcPr>
            <w:tcW w:w="6642" w:type="dxa"/>
            <w:shd w:val="clear" w:color="auto" w:fill="auto"/>
            <w:vAlign w:val="center"/>
          </w:tcPr>
          <w:p w:rsidR="00807385" w:rsidRPr="004D086F" w:rsidRDefault="00807385" w:rsidP="004D086F">
            <w:pPr>
              <w:jc w:val="center"/>
              <w:rPr>
                <w:b/>
              </w:rPr>
            </w:pPr>
            <w:r w:rsidRPr="004D086F">
              <w:rPr>
                <w:b/>
              </w:rPr>
              <w:t>Treść uwagi</w:t>
            </w:r>
          </w:p>
        </w:tc>
        <w:tc>
          <w:tcPr>
            <w:tcW w:w="4514" w:type="dxa"/>
            <w:shd w:val="clear" w:color="auto" w:fill="auto"/>
            <w:vAlign w:val="center"/>
          </w:tcPr>
          <w:p w:rsidR="00807385" w:rsidRPr="004D086F" w:rsidRDefault="00807385" w:rsidP="004D086F">
            <w:pPr>
              <w:jc w:val="center"/>
              <w:rPr>
                <w:b/>
              </w:rPr>
            </w:pPr>
            <w:r w:rsidRPr="004D086F">
              <w:rPr>
                <w:b/>
              </w:rPr>
              <w:t>Propozycja zmian zapisu</w:t>
            </w:r>
          </w:p>
        </w:tc>
      </w:tr>
      <w:tr w:rsidR="00807385" w:rsidTr="006A7837">
        <w:trPr>
          <w:jc w:val="center"/>
        </w:trPr>
        <w:tc>
          <w:tcPr>
            <w:tcW w:w="750" w:type="dxa"/>
            <w:shd w:val="clear" w:color="auto" w:fill="auto"/>
            <w:vAlign w:val="center"/>
          </w:tcPr>
          <w:p w:rsidR="00807385" w:rsidRPr="004D086F" w:rsidRDefault="00807385" w:rsidP="006A7837">
            <w:pPr>
              <w:numPr>
                <w:ilvl w:val="0"/>
                <w:numId w:val="3"/>
              </w:numPr>
              <w:spacing w:before="60" w:after="60"/>
              <w:jc w:val="center"/>
              <w:rPr>
                <w:b/>
              </w:rPr>
            </w:pPr>
          </w:p>
        </w:tc>
        <w:tc>
          <w:tcPr>
            <w:tcW w:w="1203" w:type="dxa"/>
            <w:shd w:val="clear" w:color="auto" w:fill="auto"/>
            <w:vAlign w:val="center"/>
          </w:tcPr>
          <w:p w:rsidR="00807385" w:rsidRPr="004D086F" w:rsidRDefault="005310EA" w:rsidP="006A7837">
            <w:pPr>
              <w:spacing w:before="60" w:after="60"/>
              <w:jc w:val="center"/>
              <w:rPr>
                <w:b/>
              </w:rPr>
            </w:pPr>
            <w:r>
              <w:rPr>
                <w:b/>
              </w:rPr>
              <w:t>Rządowe Centrum Legislacji</w:t>
            </w:r>
          </w:p>
        </w:tc>
        <w:tc>
          <w:tcPr>
            <w:tcW w:w="1436" w:type="dxa"/>
            <w:shd w:val="clear" w:color="auto" w:fill="auto"/>
            <w:vAlign w:val="center"/>
          </w:tcPr>
          <w:p w:rsidR="00807385" w:rsidRDefault="003B5F97" w:rsidP="002E0D6A">
            <w:pPr>
              <w:jc w:val="center"/>
            </w:pPr>
            <w:r w:rsidRPr="003B5F97">
              <w:t>§ 6 projektu</w:t>
            </w:r>
          </w:p>
        </w:tc>
        <w:tc>
          <w:tcPr>
            <w:tcW w:w="6642" w:type="dxa"/>
            <w:shd w:val="clear" w:color="auto" w:fill="auto"/>
          </w:tcPr>
          <w:p w:rsidR="003B5F97" w:rsidRPr="00371A2B" w:rsidRDefault="003B5F97" w:rsidP="003B5F97">
            <w:pPr>
              <w:jc w:val="both"/>
            </w:pPr>
            <w:r>
              <w:t>1) p</w:t>
            </w:r>
            <w:r w:rsidRPr="003B5F97">
              <w:t>rzepis po zmianach nadal nie wypełnia normy upoważnienia ustawowego, zgodnie z którym należy</w:t>
            </w:r>
            <w:r>
              <w:t xml:space="preserve"> </w:t>
            </w:r>
            <w:r w:rsidRPr="003B5F97">
              <w:t>określić „sposób zabezpieczenia danych”. Jako sposobu zabezpieczenia danych nie należy</w:t>
            </w:r>
            <w:r>
              <w:t xml:space="preserve"> </w:t>
            </w:r>
            <w:r w:rsidRPr="003B5F97">
              <w:t>bowiem wskazywać „zabezpieczania w sposób zapewniający” gdyż jest to jedynie</w:t>
            </w:r>
            <w:r>
              <w:t xml:space="preserve"> </w:t>
            </w:r>
            <w:r w:rsidRPr="003B5F97">
              <w:t>wskazanie pewnych wytycznych co do kierunku zabezpieczania danych, a nie wskazanie</w:t>
            </w:r>
            <w:r>
              <w:t xml:space="preserve"> </w:t>
            </w:r>
            <w:r w:rsidRPr="003B5F97">
              <w:t>merytorycznych, konkretnych czynności, prow</w:t>
            </w:r>
            <w:r>
              <w:t>adzących do ich zabezpieczenia;</w:t>
            </w:r>
          </w:p>
          <w:p w:rsidR="003B5F97" w:rsidRDefault="002A22B6" w:rsidP="003B5F97">
            <w:pPr>
              <w:jc w:val="both"/>
            </w:pPr>
            <w:r>
              <w:t>2) w</w:t>
            </w:r>
            <w:r w:rsidR="003B5F97">
              <w:t>ątpliwości budzi przepis § 6 pkt 1 – w zakresie osób, którym jest udzielany dostęp do danych – kim są te osoby, jakie mają uprawnienia, kto te uprawnienia przydziela i co oznacza „zakres udziału w realizacji przewozu”. Kwestie te bowiem nie zostały</w:t>
            </w:r>
          </w:p>
          <w:p w:rsidR="003B5F97" w:rsidRDefault="003B5F97" w:rsidP="003B5F97">
            <w:pPr>
              <w:jc w:val="both"/>
            </w:pPr>
            <w:r>
              <w:t>uregulowane w przepisach ustawy;</w:t>
            </w:r>
          </w:p>
          <w:p w:rsidR="003B5F97" w:rsidRPr="00371A2B" w:rsidRDefault="003B5F97" w:rsidP="003B5F97">
            <w:pPr>
              <w:jc w:val="both"/>
            </w:pPr>
            <w:r>
              <w:t>3) przeredagowania wymaga przepis § 6 pkt 4 – gdyż nie można uznać „ograniczania</w:t>
            </w:r>
            <w:r w:rsidR="001B3A8C">
              <w:t xml:space="preserve"> </w:t>
            </w:r>
            <w:r>
              <w:t>możliwości wystąpienia sytuacji” za sposób zabezpieczania danych. Realizacją intencji</w:t>
            </w:r>
            <w:r w:rsidR="001B3A8C">
              <w:t xml:space="preserve"> </w:t>
            </w:r>
            <w:r>
              <w:t>ustawodawcy byłoby natomiast wskazanie, jakie działania podejmuje administrator danych</w:t>
            </w:r>
            <w:r w:rsidR="001B3A8C">
              <w:t xml:space="preserve"> </w:t>
            </w:r>
            <w:r>
              <w:t>w celu zminimalizowania ryzyka wystąpienia np. utraty danych bądź ich niekontrolowanych</w:t>
            </w:r>
            <w:r w:rsidR="001B3A8C">
              <w:t xml:space="preserve"> </w:t>
            </w:r>
            <w:r>
              <w:t>zmian (tj. wyliczenie konkretnych działań).</w:t>
            </w:r>
          </w:p>
        </w:tc>
        <w:tc>
          <w:tcPr>
            <w:tcW w:w="4514" w:type="dxa"/>
            <w:shd w:val="clear" w:color="auto" w:fill="auto"/>
          </w:tcPr>
          <w:p w:rsidR="003B5F97" w:rsidRDefault="00B868CC" w:rsidP="003B5F97">
            <w:pPr>
              <w:jc w:val="both"/>
            </w:pPr>
            <w:r>
              <w:t>W</w:t>
            </w:r>
            <w:bookmarkStart w:id="0" w:name="_GoBack"/>
            <w:bookmarkEnd w:id="0"/>
            <w:r w:rsidR="003B5F97">
              <w:t>prowadzenie do wyliczenia powinno otrzymać następujące brzmienie:</w:t>
            </w:r>
          </w:p>
          <w:p w:rsidR="003B5F97" w:rsidRDefault="003B5F97" w:rsidP="003B5F97">
            <w:pPr>
              <w:jc w:val="both"/>
            </w:pPr>
            <w:r>
              <w:t>„§ 6. Dane gromadzone przez aplikację mobilną oraz system teleinformatyczny są</w:t>
            </w:r>
          </w:p>
          <w:p w:rsidR="003B5F97" w:rsidRDefault="003B5F97" w:rsidP="003B5F97">
            <w:pPr>
              <w:jc w:val="both"/>
            </w:pPr>
            <w:r>
              <w:t>zabezpieczane w następujący sposób:”, a następujące dalej punkty powinny zostać</w:t>
            </w:r>
          </w:p>
          <w:p w:rsidR="00807385" w:rsidRDefault="003B5F97" w:rsidP="00DC4FA3">
            <w:pPr>
              <w:jc w:val="both"/>
            </w:pPr>
            <w:r>
              <w:t>odpowiednio przeredagowane pod kątem zgodności z wprowadzeniem do wyliczenia – tak,</w:t>
            </w:r>
            <w:r w:rsidR="00DC4FA3">
              <w:t xml:space="preserve"> </w:t>
            </w:r>
            <w:r>
              <w:t>aby wprost wskazywały sposoby zabezpieczeń danych</w:t>
            </w:r>
            <w:r w:rsidR="00DC4FA3">
              <w:t>.</w:t>
            </w:r>
          </w:p>
        </w:tc>
      </w:tr>
      <w:tr w:rsidR="00B67B92" w:rsidTr="006A7837">
        <w:trPr>
          <w:jc w:val="center"/>
        </w:trPr>
        <w:tc>
          <w:tcPr>
            <w:tcW w:w="750" w:type="dxa"/>
            <w:shd w:val="clear" w:color="auto" w:fill="auto"/>
            <w:vAlign w:val="center"/>
          </w:tcPr>
          <w:p w:rsidR="00B67B92" w:rsidRPr="004D086F" w:rsidRDefault="00B67B92" w:rsidP="006A7837">
            <w:pPr>
              <w:numPr>
                <w:ilvl w:val="0"/>
                <w:numId w:val="3"/>
              </w:numPr>
              <w:spacing w:before="60" w:after="60"/>
              <w:jc w:val="center"/>
              <w:rPr>
                <w:b/>
              </w:rPr>
            </w:pPr>
          </w:p>
        </w:tc>
        <w:tc>
          <w:tcPr>
            <w:tcW w:w="1203" w:type="dxa"/>
            <w:shd w:val="clear" w:color="auto" w:fill="auto"/>
            <w:vAlign w:val="center"/>
          </w:tcPr>
          <w:p w:rsidR="00B67B92" w:rsidRDefault="006419EB" w:rsidP="006A7837">
            <w:pPr>
              <w:spacing w:before="60" w:after="60"/>
              <w:jc w:val="center"/>
              <w:rPr>
                <w:b/>
              </w:rPr>
            </w:pPr>
            <w:r w:rsidRPr="006419EB">
              <w:rPr>
                <w:b/>
              </w:rPr>
              <w:t>Rządowe Centrum Legislacji</w:t>
            </w:r>
          </w:p>
        </w:tc>
        <w:tc>
          <w:tcPr>
            <w:tcW w:w="1436" w:type="dxa"/>
            <w:shd w:val="clear" w:color="auto" w:fill="auto"/>
            <w:vAlign w:val="center"/>
          </w:tcPr>
          <w:p w:rsidR="00B67B92" w:rsidRDefault="006419EB" w:rsidP="006419EB">
            <w:pPr>
              <w:jc w:val="center"/>
            </w:pPr>
            <w:r w:rsidRPr="006419EB">
              <w:t>§ 2 pkt 1</w:t>
            </w:r>
          </w:p>
        </w:tc>
        <w:tc>
          <w:tcPr>
            <w:tcW w:w="6642" w:type="dxa"/>
            <w:shd w:val="clear" w:color="auto" w:fill="auto"/>
          </w:tcPr>
          <w:p w:rsidR="006419EB" w:rsidRPr="006419EB" w:rsidRDefault="006419EB" w:rsidP="006419EB">
            <w:pPr>
              <w:jc w:val="both"/>
            </w:pPr>
            <w:r>
              <w:t>1</w:t>
            </w:r>
            <w:r w:rsidRPr="006419EB">
              <w:t>) wyjaśnienia wymaga, czy wskazane funkcjonalności aplikacja mobilna zapewnia</w:t>
            </w:r>
            <w:r>
              <w:t xml:space="preserve"> </w:t>
            </w:r>
            <w:r w:rsidRPr="006419EB">
              <w:t>jedynie przedsiębiorcy wykonującemu transport drogowy w zakresie przewozu osób na</w:t>
            </w:r>
            <w:r>
              <w:t xml:space="preserve"> </w:t>
            </w:r>
            <w:r w:rsidRPr="006419EB">
              <w:t>podstawie licencji, czy też może także przedsiębiorcy wykonującemu transport drogowy</w:t>
            </w:r>
            <w:r>
              <w:t xml:space="preserve"> </w:t>
            </w:r>
            <w:r w:rsidRPr="006419EB">
              <w:t>w zakresie p</w:t>
            </w:r>
            <w:r w:rsidR="001B3A8C">
              <w:t>ośrednictwa przy przewozie osób;</w:t>
            </w:r>
          </w:p>
          <w:p w:rsidR="006419EB" w:rsidRPr="006419EB" w:rsidRDefault="001B3A8C" w:rsidP="006419EB">
            <w:pPr>
              <w:jc w:val="both"/>
            </w:pPr>
            <w:r>
              <w:lastRenderedPageBreak/>
              <w:t>2</w:t>
            </w:r>
            <w:r w:rsidR="006419EB" w:rsidRPr="006419EB">
              <w:t>) w lit. a – doprecyzowania, przez odpowiednie odesłanie, wymaga zwrot</w:t>
            </w:r>
            <w:r w:rsidR="006419EB">
              <w:t xml:space="preserve"> </w:t>
            </w:r>
            <w:r w:rsidR="006419EB" w:rsidRPr="006419EB">
              <w:t>„z zachowaniem prz</w:t>
            </w:r>
            <w:r>
              <w:t>episów o opłatach maksymalnych”;</w:t>
            </w:r>
          </w:p>
          <w:p w:rsidR="006419EB" w:rsidRPr="006419EB" w:rsidRDefault="001B3A8C" w:rsidP="006419EB">
            <w:pPr>
              <w:jc w:val="both"/>
            </w:pPr>
            <w:r>
              <w:t>3</w:t>
            </w:r>
            <w:r w:rsidR="006419EB" w:rsidRPr="006419EB">
              <w:t>) zamknięcia wymaga katalog parametrów w lit. c, ponadto wyjaśnienia wymaga</w:t>
            </w:r>
            <w:r w:rsidR="006419EB">
              <w:t xml:space="preserve"> </w:t>
            </w:r>
            <w:r w:rsidR="006419EB" w:rsidRPr="006419EB">
              <w:t xml:space="preserve">parametr wskazany w </w:t>
            </w:r>
            <w:proofErr w:type="spellStart"/>
            <w:r w:rsidR="006419EB" w:rsidRPr="006419EB">
              <w:t>tiret</w:t>
            </w:r>
            <w:proofErr w:type="spellEnd"/>
            <w:r w:rsidR="006419EB" w:rsidRPr="006419EB">
              <w:t xml:space="preserve"> pierwsze „pokonywana odległość” – mając na uwadze, że aplikacja</w:t>
            </w:r>
            <w:r w:rsidR="006419EB">
              <w:t xml:space="preserve"> </w:t>
            </w:r>
            <w:r w:rsidR="006419EB" w:rsidRPr="006419EB">
              <w:t>nie będzie urządzeniem pomiarowym i nie będzie reje</w:t>
            </w:r>
            <w:r>
              <w:t>strowała pokonywanej odległości;</w:t>
            </w:r>
          </w:p>
          <w:p w:rsidR="00B67B92" w:rsidRDefault="001B3A8C" w:rsidP="006419EB">
            <w:pPr>
              <w:jc w:val="both"/>
            </w:pPr>
            <w:r>
              <w:t>4</w:t>
            </w:r>
            <w:r w:rsidR="006419EB" w:rsidRPr="006419EB">
              <w:t>) nawiązując do uwagi przedstawionej powyżej, wyjaśnienia wymaga różnica między</w:t>
            </w:r>
            <w:r w:rsidR="006419EB">
              <w:t xml:space="preserve"> </w:t>
            </w:r>
            <w:r w:rsidR="006419EB" w:rsidRPr="006419EB">
              <w:t>funkcjonalnościami: „wyliczania orientacyjnej długości trasy przewozu” (§ 2 pkt 1 lit. b),</w:t>
            </w:r>
            <w:r w:rsidR="006419EB">
              <w:t xml:space="preserve"> </w:t>
            </w:r>
            <w:r w:rsidR="006419EB" w:rsidRPr="006419EB">
              <w:t>„rejestrowania parametrów charakteryzujących realizowany przewóz, co najmniej takich jak</w:t>
            </w:r>
            <w:r w:rsidR="006419EB">
              <w:t xml:space="preserve"> </w:t>
            </w:r>
            <w:r w:rsidR="006419EB" w:rsidRPr="006419EB">
              <w:t>pokonywana odległość, wyliczana orientacyjnie przy użyciu systemu nawigacji satelitarnej”</w:t>
            </w:r>
            <w:r w:rsidR="006419EB">
              <w:t xml:space="preserve"> </w:t>
            </w:r>
            <w:r w:rsidR="006419EB" w:rsidRPr="006419EB">
              <w:t>(§ 2 pkt 1 lit. c) oraz rejestracja informacji o realizowanym przewozie w zakresie pokonanej</w:t>
            </w:r>
            <w:r w:rsidR="006419EB">
              <w:t xml:space="preserve"> </w:t>
            </w:r>
            <w:r w:rsidR="006419EB" w:rsidRPr="006419EB">
              <w:t>odległości (§ 3 pkt 2 lit. a)</w:t>
            </w:r>
            <w:r w:rsidR="006419EB">
              <w:t>.</w:t>
            </w:r>
          </w:p>
        </w:tc>
        <w:tc>
          <w:tcPr>
            <w:tcW w:w="4514" w:type="dxa"/>
            <w:shd w:val="clear" w:color="auto" w:fill="auto"/>
          </w:tcPr>
          <w:p w:rsidR="00B67B92" w:rsidRDefault="00D848C3" w:rsidP="00D848C3">
            <w:pPr>
              <w:spacing w:line="276" w:lineRule="auto"/>
              <w:jc w:val="both"/>
            </w:pPr>
            <w:r>
              <w:lastRenderedPageBreak/>
              <w:t>Dokonanie uzupełnień we wskazanych przepisach lub wyjaśnień  w treści uzasadnienia do wskazanych przepisów.</w:t>
            </w:r>
          </w:p>
        </w:tc>
      </w:tr>
      <w:tr w:rsidR="00B67B92" w:rsidTr="006A7837">
        <w:trPr>
          <w:jc w:val="center"/>
        </w:trPr>
        <w:tc>
          <w:tcPr>
            <w:tcW w:w="750" w:type="dxa"/>
            <w:shd w:val="clear" w:color="auto" w:fill="auto"/>
            <w:vAlign w:val="center"/>
          </w:tcPr>
          <w:p w:rsidR="00B67B92" w:rsidRPr="004D086F" w:rsidRDefault="00B67B92" w:rsidP="006A7837">
            <w:pPr>
              <w:numPr>
                <w:ilvl w:val="0"/>
                <w:numId w:val="3"/>
              </w:numPr>
              <w:spacing w:before="60" w:after="60"/>
              <w:jc w:val="center"/>
              <w:rPr>
                <w:b/>
              </w:rPr>
            </w:pPr>
          </w:p>
        </w:tc>
        <w:tc>
          <w:tcPr>
            <w:tcW w:w="1203" w:type="dxa"/>
            <w:shd w:val="clear" w:color="auto" w:fill="auto"/>
            <w:vAlign w:val="center"/>
          </w:tcPr>
          <w:p w:rsidR="00B67B92" w:rsidRDefault="006419EB" w:rsidP="006A7837">
            <w:pPr>
              <w:spacing w:before="60" w:after="60"/>
              <w:jc w:val="center"/>
              <w:rPr>
                <w:b/>
              </w:rPr>
            </w:pPr>
            <w:r w:rsidRPr="006419EB">
              <w:rPr>
                <w:b/>
              </w:rPr>
              <w:t>Rządowe Centrum Legislacji</w:t>
            </w:r>
          </w:p>
        </w:tc>
        <w:tc>
          <w:tcPr>
            <w:tcW w:w="1436" w:type="dxa"/>
            <w:shd w:val="clear" w:color="auto" w:fill="auto"/>
            <w:vAlign w:val="center"/>
          </w:tcPr>
          <w:p w:rsidR="00B67B92" w:rsidRDefault="00FA38D1" w:rsidP="002E0D6A">
            <w:pPr>
              <w:jc w:val="center"/>
            </w:pPr>
            <w:r w:rsidRPr="00FA38D1">
              <w:t>§ 3</w:t>
            </w:r>
          </w:p>
        </w:tc>
        <w:tc>
          <w:tcPr>
            <w:tcW w:w="6642" w:type="dxa"/>
            <w:shd w:val="clear" w:color="auto" w:fill="auto"/>
          </w:tcPr>
          <w:p w:rsidR="00FA38D1" w:rsidRPr="00FA38D1" w:rsidRDefault="00FA38D1" w:rsidP="00FA38D1">
            <w:pPr>
              <w:jc w:val="both"/>
            </w:pPr>
            <w:r>
              <w:t>1</w:t>
            </w:r>
            <w:r w:rsidRPr="00FA38D1">
              <w:t xml:space="preserve">) przepis </w:t>
            </w:r>
            <w:r w:rsidR="001B3A8C">
              <w:t xml:space="preserve">§ 3 </w:t>
            </w:r>
            <w:r w:rsidRPr="00FA38D1">
              <w:t>pkt 2 projektu odsyła do przepisów wydanych na podstawie art. 111b ust. 3</w:t>
            </w:r>
            <w:r>
              <w:t xml:space="preserve"> </w:t>
            </w:r>
            <w:r w:rsidRPr="00FA38D1">
              <w:t>pkt 1 i 2 ustawy z dnia 11 marca 2004 r. o podatku od towarów i usług (Dz. U. z 2018 r. poz.</w:t>
            </w:r>
            <w:r>
              <w:t xml:space="preserve"> </w:t>
            </w:r>
            <w:r w:rsidRPr="00FA38D1">
              <w:t xml:space="preserve">2174, z </w:t>
            </w:r>
            <w:proofErr w:type="spellStart"/>
            <w:r w:rsidRPr="00FA38D1">
              <w:t>późn</w:t>
            </w:r>
            <w:proofErr w:type="spellEnd"/>
            <w:r w:rsidRPr="00FA38D1">
              <w:t>. zm.) – zwrócić uwagę należy, że wskazane przepisy (projekt rozporządzenia</w:t>
            </w:r>
            <w:r>
              <w:t xml:space="preserve"> </w:t>
            </w:r>
            <w:r w:rsidRPr="00FA38D1">
              <w:t>Ministra Finansów w sprawie kas rejestrujących mających postać oprogramowania (MF</w:t>
            </w:r>
            <w:r>
              <w:t xml:space="preserve"> </w:t>
            </w:r>
            <w:r w:rsidRPr="00FA38D1">
              <w:t>990)) znajdują się obecnie na etapie uzgodnień międzyresortowych, nie ma więc możliwości</w:t>
            </w:r>
            <w:r>
              <w:t xml:space="preserve"> </w:t>
            </w:r>
            <w:r w:rsidRPr="00FA38D1">
              <w:t>ostatecznej oceny odesłania do wskazanych przepisów wykonawczych. Podkreślić jednakże</w:t>
            </w:r>
            <w:r>
              <w:t xml:space="preserve"> </w:t>
            </w:r>
            <w:r w:rsidRPr="00FA38D1">
              <w:t>należy, że przepis § 21 projektu rozporządzenia Ministra Finansów w sprawie kas</w:t>
            </w:r>
            <w:r>
              <w:t xml:space="preserve"> </w:t>
            </w:r>
            <w:r w:rsidRPr="00FA38D1">
              <w:t>rejestrujących mających postać oprogramowania określił termin wejścia w życie tego</w:t>
            </w:r>
            <w:r>
              <w:t xml:space="preserve"> </w:t>
            </w:r>
            <w:r w:rsidRPr="00FA38D1">
              <w:t>rozporządzenia - po upływie 14 dni od dnia ogłoszenia. Dodatkowo – uzasadnienie do tego</w:t>
            </w:r>
            <w:r>
              <w:t xml:space="preserve"> </w:t>
            </w:r>
            <w:r w:rsidRPr="00FA38D1">
              <w:t>projektu wskazuje na konieczność notyfikowania projektu Komisji Europejskiej (str. 5</w:t>
            </w:r>
            <w:r>
              <w:t xml:space="preserve"> </w:t>
            </w:r>
            <w:r w:rsidRPr="00FA38D1">
              <w:t>uzasadnienia), co nie pozwala wskazać konkretnego terminu wejścia w życie rozporządzenia.</w:t>
            </w:r>
          </w:p>
          <w:p w:rsidR="00B67B92" w:rsidRDefault="00FA38D1" w:rsidP="00FA38D1">
            <w:pPr>
              <w:jc w:val="both"/>
            </w:pPr>
            <w:r w:rsidRPr="00FA38D1">
              <w:t xml:space="preserve">Natomiast projekt rozporządzenia Ministra Cyfryzacji w sprawie </w:t>
            </w:r>
            <w:r w:rsidRPr="00FA38D1">
              <w:lastRenderedPageBreak/>
              <w:t>aplikacji mobilnej ustala</w:t>
            </w:r>
            <w:r>
              <w:t xml:space="preserve"> </w:t>
            </w:r>
            <w:r w:rsidRPr="00FA38D1">
              <w:t>termin wejścia w życie rozporządzenia na dzień 1 stycznia 2020 r. W opinii Rządowego</w:t>
            </w:r>
            <w:r>
              <w:t xml:space="preserve"> </w:t>
            </w:r>
            <w:r w:rsidRPr="00FA38D1">
              <w:t>Centrum Legislacji regulacje te powinny wejść w życie w jednym terminie, zwłaszcza w</w:t>
            </w:r>
            <w:r>
              <w:t xml:space="preserve"> </w:t>
            </w:r>
            <w:r w:rsidRPr="00FA38D1">
              <w:t>świetle odesłania projektowanego w § 3 projektu</w:t>
            </w:r>
            <w:r>
              <w:t>;</w:t>
            </w:r>
          </w:p>
          <w:p w:rsidR="00FA38D1" w:rsidRDefault="00FA38D1" w:rsidP="00FA38D1">
            <w:pPr>
              <w:jc w:val="both"/>
            </w:pPr>
            <w:r>
              <w:t xml:space="preserve">2) niejasne jest wskazane w </w:t>
            </w:r>
            <w:r w:rsidR="001B3A8C">
              <w:t xml:space="preserve">§ 3 w </w:t>
            </w:r>
            <w:r>
              <w:t>pkt 2, w części wspólnej, sformułowanie „informacji oraz wymagań niezbędnych do prawidłowego działania kasy rejestrującej mającej postać oprogramowania”.</w:t>
            </w:r>
          </w:p>
          <w:p w:rsidR="00FA38D1" w:rsidRDefault="00FA38D1" w:rsidP="00FA38D1">
            <w:pPr>
              <w:jc w:val="both"/>
            </w:pPr>
            <w:r>
              <w:t>O ile wymagania techniczne dla kas określone są wprost w projekcie rozporządzenia Ministra Finansów w sprawie kas rejestrujących mających postać oprogramowania, o tyle kwestia</w:t>
            </w:r>
          </w:p>
          <w:p w:rsidR="00FA38D1" w:rsidRDefault="00FA38D1" w:rsidP="00B868CC">
            <w:pPr>
              <w:jc w:val="both"/>
            </w:pPr>
            <w:r>
              <w:t xml:space="preserve">„uwzględnienia informacji” niezbędnych do prawidłowego działania kasy rejestrującej wymaga dalszego wyjaśnienia. Czy informacjami tymi są dane wskazane w przepisie § 50 ust. 2 załącznika nr 1 do ww. projektu rozporządzenia Ministra Finansów zawierającym szeroki katalog „danych z aplikacji mobilnej”? Jeżeli tak, to podkreślić należy, że katalog ten nie znajduje odzwierciedlenia w funkcjonalnościach wprowadzanych projektem rozporządzenia Ministra Cyfryzacji w sprawie aplikacji mobilnej. </w:t>
            </w:r>
          </w:p>
        </w:tc>
        <w:tc>
          <w:tcPr>
            <w:tcW w:w="4514" w:type="dxa"/>
            <w:shd w:val="clear" w:color="auto" w:fill="auto"/>
          </w:tcPr>
          <w:p w:rsidR="00B67B92" w:rsidRDefault="00D848C3" w:rsidP="00651688">
            <w:pPr>
              <w:spacing w:line="276" w:lineRule="auto"/>
              <w:jc w:val="both"/>
            </w:pPr>
            <w:r>
              <w:lastRenderedPageBreak/>
              <w:t>Usunięcie ewentualnej luki regulacyjnej poprzez uregulowanie wskazanej części w treści projektu rozporządzenia jeżeli nie będzie możliwe skorelowanie wejścia w życie obydwu aktów prawnych.</w:t>
            </w:r>
          </w:p>
          <w:p w:rsidR="00B868CC" w:rsidRDefault="00B868CC" w:rsidP="00651688">
            <w:pPr>
              <w:spacing w:line="276" w:lineRule="auto"/>
              <w:jc w:val="both"/>
            </w:pPr>
          </w:p>
          <w:p w:rsidR="00B868CC" w:rsidRDefault="00B868CC" w:rsidP="00651688">
            <w:pPr>
              <w:spacing w:line="276" w:lineRule="auto"/>
              <w:jc w:val="both"/>
            </w:pPr>
          </w:p>
          <w:p w:rsidR="00B868CC" w:rsidRDefault="00B868CC" w:rsidP="00651688">
            <w:pPr>
              <w:spacing w:line="276" w:lineRule="auto"/>
              <w:jc w:val="both"/>
            </w:pPr>
          </w:p>
          <w:p w:rsidR="00B868CC" w:rsidRDefault="00B868CC" w:rsidP="00651688">
            <w:pPr>
              <w:spacing w:line="276" w:lineRule="auto"/>
              <w:jc w:val="both"/>
            </w:pPr>
          </w:p>
          <w:p w:rsidR="00B868CC" w:rsidRDefault="00B868CC" w:rsidP="00651688">
            <w:pPr>
              <w:spacing w:line="276" w:lineRule="auto"/>
              <w:jc w:val="both"/>
            </w:pPr>
          </w:p>
          <w:p w:rsidR="00B868CC" w:rsidRDefault="00B868CC" w:rsidP="00651688">
            <w:pPr>
              <w:spacing w:line="276" w:lineRule="auto"/>
              <w:jc w:val="both"/>
            </w:pPr>
          </w:p>
          <w:p w:rsidR="00B868CC" w:rsidRDefault="00B868CC" w:rsidP="00651688">
            <w:pPr>
              <w:spacing w:line="276" w:lineRule="auto"/>
              <w:jc w:val="both"/>
            </w:pPr>
          </w:p>
          <w:p w:rsidR="00B868CC" w:rsidRDefault="00B868CC" w:rsidP="00651688">
            <w:pPr>
              <w:spacing w:line="276" w:lineRule="auto"/>
              <w:jc w:val="both"/>
            </w:pPr>
          </w:p>
          <w:p w:rsidR="00B868CC" w:rsidRDefault="00B868CC" w:rsidP="00651688">
            <w:pPr>
              <w:spacing w:line="276" w:lineRule="auto"/>
              <w:jc w:val="both"/>
            </w:pPr>
          </w:p>
          <w:p w:rsidR="00B868CC" w:rsidRDefault="00B868CC" w:rsidP="00651688">
            <w:pPr>
              <w:spacing w:line="276" w:lineRule="auto"/>
              <w:jc w:val="both"/>
            </w:pPr>
          </w:p>
          <w:p w:rsidR="00B868CC" w:rsidRDefault="00B868CC" w:rsidP="00651688">
            <w:pPr>
              <w:spacing w:line="276" w:lineRule="auto"/>
              <w:jc w:val="both"/>
            </w:pPr>
          </w:p>
          <w:p w:rsidR="00B868CC" w:rsidRDefault="00B868CC" w:rsidP="00651688">
            <w:pPr>
              <w:spacing w:line="276" w:lineRule="auto"/>
              <w:jc w:val="both"/>
            </w:pPr>
          </w:p>
          <w:p w:rsidR="00B868CC" w:rsidRDefault="00B868CC" w:rsidP="00651688">
            <w:pPr>
              <w:spacing w:line="276" w:lineRule="auto"/>
              <w:jc w:val="both"/>
            </w:pPr>
          </w:p>
          <w:p w:rsidR="00B868CC" w:rsidRDefault="00B868CC" w:rsidP="00651688">
            <w:pPr>
              <w:spacing w:line="276" w:lineRule="auto"/>
              <w:jc w:val="both"/>
            </w:pPr>
          </w:p>
          <w:p w:rsidR="00B868CC" w:rsidRDefault="00B868CC" w:rsidP="00651688">
            <w:pPr>
              <w:spacing w:line="276" w:lineRule="auto"/>
              <w:jc w:val="both"/>
            </w:pPr>
            <w:r>
              <w:t>Dookreślenie normy zawartej w § 3 pkt 2.</w:t>
            </w:r>
          </w:p>
          <w:p w:rsidR="00B868CC" w:rsidRDefault="00B868CC" w:rsidP="00651688">
            <w:pPr>
              <w:spacing w:line="276" w:lineRule="auto"/>
              <w:jc w:val="both"/>
            </w:pPr>
          </w:p>
          <w:p w:rsidR="00B868CC" w:rsidRDefault="00B868CC" w:rsidP="00651688">
            <w:pPr>
              <w:spacing w:line="276" w:lineRule="auto"/>
              <w:jc w:val="both"/>
            </w:pPr>
          </w:p>
          <w:p w:rsidR="00B868CC" w:rsidRDefault="00B868CC" w:rsidP="00B868CC">
            <w:pPr>
              <w:spacing w:line="276" w:lineRule="auto"/>
              <w:jc w:val="both"/>
            </w:pPr>
            <w:r w:rsidRPr="00B868CC">
              <w:t xml:space="preserve">We wskazanym zakresie projekty tych aktów wykonawczych wymagają </w:t>
            </w:r>
            <w:proofErr w:type="spellStart"/>
            <w:r w:rsidRPr="00B868CC">
              <w:t>uspójnienia</w:t>
            </w:r>
            <w:proofErr w:type="spellEnd"/>
            <w:r w:rsidRPr="00B868CC">
              <w:t>.</w:t>
            </w:r>
          </w:p>
        </w:tc>
      </w:tr>
      <w:tr w:rsidR="00E600F3" w:rsidTr="006A7837">
        <w:trPr>
          <w:jc w:val="center"/>
        </w:trPr>
        <w:tc>
          <w:tcPr>
            <w:tcW w:w="750" w:type="dxa"/>
            <w:shd w:val="clear" w:color="auto" w:fill="auto"/>
            <w:vAlign w:val="center"/>
          </w:tcPr>
          <w:p w:rsidR="00E600F3" w:rsidRPr="004D086F" w:rsidRDefault="00E600F3" w:rsidP="006A7837">
            <w:pPr>
              <w:numPr>
                <w:ilvl w:val="0"/>
                <w:numId w:val="3"/>
              </w:numPr>
              <w:spacing w:before="60" w:after="60"/>
              <w:jc w:val="center"/>
              <w:rPr>
                <w:b/>
              </w:rPr>
            </w:pPr>
          </w:p>
        </w:tc>
        <w:tc>
          <w:tcPr>
            <w:tcW w:w="1203" w:type="dxa"/>
            <w:shd w:val="clear" w:color="auto" w:fill="auto"/>
            <w:vAlign w:val="center"/>
          </w:tcPr>
          <w:p w:rsidR="00E600F3" w:rsidRPr="006419EB" w:rsidRDefault="00E600F3" w:rsidP="006A7837">
            <w:pPr>
              <w:spacing w:before="60" w:after="60"/>
              <w:jc w:val="center"/>
              <w:rPr>
                <w:b/>
              </w:rPr>
            </w:pPr>
            <w:r w:rsidRPr="00E600F3">
              <w:rPr>
                <w:b/>
              </w:rPr>
              <w:t>Rządowe Centrum Legislacji</w:t>
            </w:r>
          </w:p>
        </w:tc>
        <w:tc>
          <w:tcPr>
            <w:tcW w:w="1436" w:type="dxa"/>
            <w:shd w:val="clear" w:color="auto" w:fill="auto"/>
            <w:vAlign w:val="center"/>
          </w:tcPr>
          <w:p w:rsidR="00E600F3" w:rsidRPr="00FA38D1" w:rsidRDefault="00E600F3" w:rsidP="002E0D6A">
            <w:pPr>
              <w:jc w:val="center"/>
            </w:pPr>
            <w:r w:rsidRPr="00E600F3">
              <w:t>§ 4</w:t>
            </w:r>
          </w:p>
        </w:tc>
        <w:tc>
          <w:tcPr>
            <w:tcW w:w="6642" w:type="dxa"/>
            <w:shd w:val="clear" w:color="auto" w:fill="auto"/>
          </w:tcPr>
          <w:p w:rsidR="00E600F3" w:rsidRDefault="00E600F3" w:rsidP="00B868CC">
            <w:pPr>
              <w:jc w:val="both"/>
            </w:pPr>
            <w:r>
              <w:t xml:space="preserve">Mając na uwadze treść § 4 projektu, zgodnie z którym klient ma dostęp do informacji o uprawnieniach przedsiębiorcy wykonującego transport drogowy w zakresie osób na podstawie licencji oraz o uprawnieniach kierowcy do realizacji przewozu, wyjaśnienia wymaga, co należy rozumieć przez „informacje o uprawnieniach kierowcy do realizacji przewozu”. </w:t>
            </w:r>
            <w:r w:rsidR="00B868CC">
              <w:t>U</w:t>
            </w:r>
            <w:r>
              <w:t>jawnianie danych dotyczących osób (a takim ujawnieniem byłby dostęp do dokumentu potwierdzającego posiadanie uprawnienia do kierowania pojazdem - prawa jazdy) może następować jedynie na podstawie przepisów rangi ustawowej.</w:t>
            </w:r>
          </w:p>
        </w:tc>
        <w:tc>
          <w:tcPr>
            <w:tcW w:w="4514" w:type="dxa"/>
            <w:shd w:val="clear" w:color="auto" w:fill="auto"/>
          </w:tcPr>
          <w:p w:rsidR="00E600F3" w:rsidRDefault="00B868CC" w:rsidP="00B868CC">
            <w:pPr>
              <w:spacing w:line="276" w:lineRule="auto"/>
              <w:jc w:val="both"/>
            </w:pPr>
            <w:r>
              <w:t>Uzupełnienie przepisu lub uzasadnienia w tym zakresie.</w:t>
            </w:r>
          </w:p>
        </w:tc>
      </w:tr>
      <w:tr w:rsidR="00B67B92" w:rsidTr="006A7837">
        <w:trPr>
          <w:jc w:val="center"/>
        </w:trPr>
        <w:tc>
          <w:tcPr>
            <w:tcW w:w="750" w:type="dxa"/>
            <w:shd w:val="clear" w:color="auto" w:fill="auto"/>
            <w:vAlign w:val="center"/>
          </w:tcPr>
          <w:p w:rsidR="00B67B92" w:rsidRPr="004D086F" w:rsidRDefault="00B67B92" w:rsidP="006A7837">
            <w:pPr>
              <w:numPr>
                <w:ilvl w:val="0"/>
                <w:numId w:val="3"/>
              </w:numPr>
              <w:spacing w:before="60" w:after="60"/>
              <w:jc w:val="center"/>
              <w:rPr>
                <w:b/>
              </w:rPr>
            </w:pPr>
          </w:p>
        </w:tc>
        <w:tc>
          <w:tcPr>
            <w:tcW w:w="1203" w:type="dxa"/>
            <w:shd w:val="clear" w:color="auto" w:fill="auto"/>
            <w:vAlign w:val="center"/>
          </w:tcPr>
          <w:p w:rsidR="00B67B92" w:rsidRDefault="00CE5BF3" w:rsidP="006A7837">
            <w:pPr>
              <w:spacing w:before="60" w:after="60"/>
              <w:jc w:val="center"/>
              <w:rPr>
                <w:b/>
              </w:rPr>
            </w:pPr>
            <w:r w:rsidRPr="00CE5BF3">
              <w:rPr>
                <w:b/>
              </w:rPr>
              <w:t xml:space="preserve">Rządowe Centrum </w:t>
            </w:r>
            <w:r w:rsidRPr="00CE5BF3">
              <w:rPr>
                <w:b/>
              </w:rPr>
              <w:lastRenderedPageBreak/>
              <w:t>Legislacji</w:t>
            </w:r>
          </w:p>
        </w:tc>
        <w:tc>
          <w:tcPr>
            <w:tcW w:w="1436" w:type="dxa"/>
            <w:shd w:val="clear" w:color="auto" w:fill="auto"/>
            <w:vAlign w:val="center"/>
          </w:tcPr>
          <w:p w:rsidR="00B67B92" w:rsidRDefault="00FA38D1" w:rsidP="002E0D6A">
            <w:pPr>
              <w:jc w:val="center"/>
            </w:pPr>
            <w:r w:rsidRPr="00FA38D1">
              <w:lastRenderedPageBreak/>
              <w:t>§ 5 pkt 1</w:t>
            </w:r>
          </w:p>
        </w:tc>
        <w:tc>
          <w:tcPr>
            <w:tcW w:w="6642" w:type="dxa"/>
            <w:shd w:val="clear" w:color="auto" w:fill="auto"/>
          </w:tcPr>
          <w:p w:rsidR="00B67B92" w:rsidRDefault="00FA38D1" w:rsidP="00B868CC">
            <w:pPr>
              <w:jc w:val="both"/>
            </w:pPr>
            <w:r>
              <w:t>Z</w:t>
            </w:r>
            <w:r w:rsidRPr="00FA38D1">
              <w:t xml:space="preserve">godnie </w:t>
            </w:r>
            <w:r>
              <w:t xml:space="preserve">ze wskazanym przepisem </w:t>
            </w:r>
            <w:r w:rsidRPr="00FA38D1">
              <w:t>aplikacja mobilna oraz aplikacja mobilna</w:t>
            </w:r>
            <w:r>
              <w:t xml:space="preserve"> </w:t>
            </w:r>
            <w:r w:rsidRPr="00FA38D1">
              <w:t>działająca przy udziale systemu teleinformatycznego zapewniają funkcjonalność</w:t>
            </w:r>
            <w:r>
              <w:t xml:space="preserve"> </w:t>
            </w:r>
            <w:r w:rsidRPr="00FA38D1">
              <w:t xml:space="preserve">umożliwiającą </w:t>
            </w:r>
            <w:r w:rsidRPr="00FA38D1">
              <w:lastRenderedPageBreak/>
              <w:t>zapoznanie się informacjami, o których mowa w § 3 pkt 1, utrwalonymi na</w:t>
            </w:r>
            <w:r>
              <w:t xml:space="preserve"> </w:t>
            </w:r>
            <w:r w:rsidRPr="00FA38D1">
              <w:t>nośniku w postaci elektronicznej w przypadku kontroli przewozu przez podmioty uprawnione</w:t>
            </w:r>
            <w:r>
              <w:t xml:space="preserve"> </w:t>
            </w:r>
            <w:r w:rsidRPr="00FA38D1">
              <w:t xml:space="preserve">do kontroli wykonywania transportu drogowego. </w:t>
            </w:r>
            <w:r w:rsidR="00B868CC">
              <w:t>M</w:t>
            </w:r>
            <w:r w:rsidRPr="00FA38D1">
              <w:t>ając na uwadze treść art. 13b ust. 1 ustawy z dnia 6 września 2001 r. o transporcie</w:t>
            </w:r>
            <w:r>
              <w:t xml:space="preserve"> </w:t>
            </w:r>
            <w:r w:rsidRPr="00FA38D1">
              <w:t>drogowym, zgodnie z którym aplikacja mobilna ma służyć rozliczeniom opłaty za przewóz</w:t>
            </w:r>
            <w:r>
              <w:t xml:space="preserve"> </w:t>
            </w:r>
            <w:r w:rsidRPr="00FA38D1">
              <w:t>osób, brak jest podstawy do regulowania w przedmiotowym rozporządzeniu kwestii</w:t>
            </w:r>
            <w:r>
              <w:t xml:space="preserve"> </w:t>
            </w:r>
            <w:r w:rsidRPr="00FA38D1">
              <w:t>związanych z kontrolą przewoźników, gdyż przepisy ustawy nie regulują dostępu organów</w:t>
            </w:r>
            <w:r>
              <w:t xml:space="preserve"> </w:t>
            </w:r>
            <w:r w:rsidRPr="00FA38D1">
              <w:t>uprawnionych do kontroli do aplikacji mobilnej. Zakres danych zarejestrowanych w aplikacji,</w:t>
            </w:r>
            <w:r>
              <w:t xml:space="preserve"> </w:t>
            </w:r>
            <w:r w:rsidRPr="00FA38D1">
              <w:t>do których dostęp miałyby organy kontroli, także powinien znajdować się w przepisach rangi</w:t>
            </w:r>
            <w:r>
              <w:t xml:space="preserve"> </w:t>
            </w:r>
            <w:r w:rsidRPr="00FA38D1">
              <w:t>ustawowej. Ponadto niejasnym jest, czy wskazany w § 5 pkt 1 „nośnik w postaci</w:t>
            </w:r>
            <w:r>
              <w:t xml:space="preserve"> </w:t>
            </w:r>
            <w:r w:rsidRPr="00FA38D1">
              <w:t>elektronicznej” to „informatyczny nośnik danych” w rozumieniu art. 3 pkt 1 ustawy z dnia</w:t>
            </w:r>
            <w:r>
              <w:t xml:space="preserve"> </w:t>
            </w:r>
            <w:r w:rsidRPr="00FA38D1">
              <w:t>17 lutego 2015 r. o informatyzacji działalności podmiotów realizujących zadania publiczne.</w:t>
            </w:r>
          </w:p>
        </w:tc>
        <w:tc>
          <w:tcPr>
            <w:tcW w:w="4514" w:type="dxa"/>
            <w:shd w:val="clear" w:color="auto" w:fill="auto"/>
          </w:tcPr>
          <w:p w:rsidR="00B67B92" w:rsidRDefault="00B868CC" w:rsidP="00651688">
            <w:pPr>
              <w:spacing w:line="276" w:lineRule="auto"/>
              <w:jc w:val="both"/>
            </w:pPr>
            <w:r>
              <w:lastRenderedPageBreak/>
              <w:t>Korekta merytoryczna § 5 pkt 1.</w:t>
            </w:r>
          </w:p>
        </w:tc>
      </w:tr>
    </w:tbl>
    <w:p w:rsidR="00C64B1B" w:rsidRDefault="00C64B1B" w:rsidP="00C64B1B">
      <w:pPr>
        <w:jc w:val="center"/>
      </w:pPr>
    </w:p>
    <w:sectPr w:rsidR="00C64B1B" w:rsidSect="00630397">
      <w:footerReference w:type="default" r:id="rId8"/>
      <w:pgSz w:w="16838" w:h="11906" w:orient="landscape"/>
      <w:pgMar w:top="1276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6F8A" w:rsidRDefault="00AF6F8A" w:rsidP="006F2464">
      <w:r>
        <w:separator/>
      </w:r>
    </w:p>
  </w:endnote>
  <w:endnote w:type="continuationSeparator" w:id="0">
    <w:p w:rsidR="00AF6F8A" w:rsidRDefault="00AF6F8A" w:rsidP="006F24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44C2" w:rsidRDefault="002144C2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B868CC">
      <w:rPr>
        <w:noProof/>
      </w:rPr>
      <w:t>2</w:t>
    </w:r>
    <w:r>
      <w:rPr>
        <w:noProof/>
      </w:rPr>
      <w:fldChar w:fldCharType="end"/>
    </w:r>
  </w:p>
  <w:p w:rsidR="002144C2" w:rsidRDefault="002144C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6F8A" w:rsidRDefault="00AF6F8A" w:rsidP="006F2464">
      <w:r>
        <w:separator/>
      </w:r>
    </w:p>
  </w:footnote>
  <w:footnote w:type="continuationSeparator" w:id="0">
    <w:p w:rsidR="00AF6F8A" w:rsidRDefault="00AF6F8A" w:rsidP="006F24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A2632F"/>
    <w:multiLevelType w:val="hybridMultilevel"/>
    <w:tmpl w:val="BA28086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8106B08"/>
    <w:multiLevelType w:val="hybridMultilevel"/>
    <w:tmpl w:val="F8684A5A"/>
    <w:lvl w:ilvl="0" w:tplc="4D58C068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AD16EF5"/>
    <w:multiLevelType w:val="hybridMultilevel"/>
    <w:tmpl w:val="8A9C01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7837"/>
    <w:rsid w:val="00034258"/>
    <w:rsid w:val="000F70DC"/>
    <w:rsid w:val="001B3A8C"/>
    <w:rsid w:val="00204D78"/>
    <w:rsid w:val="002144C2"/>
    <w:rsid w:val="002715B2"/>
    <w:rsid w:val="002830F3"/>
    <w:rsid w:val="002A22B6"/>
    <w:rsid w:val="002C3EF7"/>
    <w:rsid w:val="002E0D6A"/>
    <w:rsid w:val="003124D1"/>
    <w:rsid w:val="00371A2B"/>
    <w:rsid w:val="003B5F97"/>
    <w:rsid w:val="003C5A07"/>
    <w:rsid w:val="003E4667"/>
    <w:rsid w:val="00462ED0"/>
    <w:rsid w:val="0047105F"/>
    <w:rsid w:val="0048004E"/>
    <w:rsid w:val="00494158"/>
    <w:rsid w:val="004D086F"/>
    <w:rsid w:val="005310EA"/>
    <w:rsid w:val="00540339"/>
    <w:rsid w:val="00564F2F"/>
    <w:rsid w:val="005728C0"/>
    <w:rsid w:val="005967FA"/>
    <w:rsid w:val="005F6527"/>
    <w:rsid w:val="00630397"/>
    <w:rsid w:val="006419EB"/>
    <w:rsid w:val="00651688"/>
    <w:rsid w:val="00652FFF"/>
    <w:rsid w:val="0065497C"/>
    <w:rsid w:val="006574EA"/>
    <w:rsid w:val="006705EC"/>
    <w:rsid w:val="006A7837"/>
    <w:rsid w:val="006E16E9"/>
    <w:rsid w:val="006F2464"/>
    <w:rsid w:val="007343EB"/>
    <w:rsid w:val="00764098"/>
    <w:rsid w:val="007E156A"/>
    <w:rsid w:val="00807385"/>
    <w:rsid w:val="00834518"/>
    <w:rsid w:val="00885551"/>
    <w:rsid w:val="008C1A18"/>
    <w:rsid w:val="008C1BB1"/>
    <w:rsid w:val="00944932"/>
    <w:rsid w:val="00961A22"/>
    <w:rsid w:val="009C6C55"/>
    <w:rsid w:val="00A9613E"/>
    <w:rsid w:val="00AC59E1"/>
    <w:rsid w:val="00AC6AD3"/>
    <w:rsid w:val="00AF6F8A"/>
    <w:rsid w:val="00B67B92"/>
    <w:rsid w:val="00B868CC"/>
    <w:rsid w:val="00C64B1B"/>
    <w:rsid w:val="00C82EA3"/>
    <w:rsid w:val="00C86AA6"/>
    <w:rsid w:val="00C86B63"/>
    <w:rsid w:val="00CE5BF3"/>
    <w:rsid w:val="00CF662D"/>
    <w:rsid w:val="00D43BBE"/>
    <w:rsid w:val="00D848C3"/>
    <w:rsid w:val="00DC4FA3"/>
    <w:rsid w:val="00E14C33"/>
    <w:rsid w:val="00E600F3"/>
    <w:rsid w:val="00FA38D1"/>
    <w:rsid w:val="00FD17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5310EA"/>
    <w:pPr>
      <w:spacing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rsid w:val="006F246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6F2464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rsid w:val="006F246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6F2464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6F2464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6F2464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5310EA"/>
    <w:pPr>
      <w:spacing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rsid w:val="006F246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6F2464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rsid w:val="006F246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6F2464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6F2464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6F246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garbarczyk\Desktop\szablon%20-%20KRMC%20tabela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szablon - KRMC tabela</Template>
  <TotalTime>57</TotalTime>
  <Pages>4</Pages>
  <Words>1054</Words>
  <Characters>6328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7368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Krzysztof Garbarczyk</dc:creator>
  <cp:lastModifiedBy>Trojanowska-Wysocka Barbara</cp:lastModifiedBy>
  <cp:revision>15</cp:revision>
  <cp:lastPrinted>2019-12-09T08:29:00Z</cp:lastPrinted>
  <dcterms:created xsi:type="dcterms:W3CDTF">2015-01-27T10:05:00Z</dcterms:created>
  <dcterms:modified xsi:type="dcterms:W3CDTF">2019-12-09T09:36:00Z</dcterms:modified>
</cp:coreProperties>
</file>